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735" w:type="dxa"/>
        <w:tblInd w:w="40" w:type="dxa"/>
        <w:tblLayout w:type="fixed"/>
        <w:tblCellMar>
          <w:left w:w="40" w:type="dxa"/>
          <w:right w:w="40" w:type="dxa"/>
        </w:tblCellMar>
        <w:tblLook w:val="0000" w:firstRow="0" w:lastRow="0" w:firstColumn="0" w:lastColumn="0" w:noHBand="0" w:noVBand="0"/>
      </w:tblPr>
      <w:tblGrid>
        <w:gridCol w:w="566"/>
        <w:gridCol w:w="1560"/>
        <w:gridCol w:w="1416"/>
        <w:gridCol w:w="3923"/>
        <w:gridCol w:w="4678"/>
        <w:gridCol w:w="3592"/>
      </w:tblGrid>
      <w:tr w:rsidR="00C517E3" w14:paraId="15F5C31F" w14:textId="77777777" w:rsidTr="00655E9E">
        <w:trPr>
          <w:trHeight w:val="411"/>
        </w:trPr>
        <w:tc>
          <w:tcPr>
            <w:tcW w:w="15735" w:type="dxa"/>
            <w:gridSpan w:val="6"/>
            <w:tcBorders>
              <w:top w:val="single" w:sz="6" w:space="0" w:color="auto"/>
              <w:left w:val="single" w:sz="6" w:space="0" w:color="auto"/>
              <w:bottom w:val="single" w:sz="6" w:space="0" w:color="auto"/>
              <w:right w:val="single" w:sz="6" w:space="0" w:color="auto"/>
            </w:tcBorders>
          </w:tcPr>
          <w:p w14:paraId="61946BBB" w14:textId="77777777" w:rsidR="00C517E3" w:rsidRDefault="00C148DB">
            <w:pPr>
              <w:pStyle w:val="Style1"/>
              <w:widowControl/>
              <w:ind w:firstLine="10"/>
              <w:jc w:val="left"/>
              <w:rPr>
                <w:rStyle w:val="FontStyle12"/>
              </w:rPr>
            </w:pPr>
            <w:r>
              <w:rPr>
                <w:rStyle w:val="FontStyle11"/>
              </w:rPr>
              <w:t xml:space="preserve">Nazwa dokumentu: </w:t>
            </w:r>
            <w:r>
              <w:rPr>
                <w:rStyle w:val="FontStyle12"/>
              </w:rPr>
              <w:t>projekt rozporządzenia Ministra Sprawiedliwości w sprawie konta w systemie teleinformatycznym obsługującym postępowanie sądowe (nr w wykazie A427)</w:t>
            </w:r>
          </w:p>
        </w:tc>
      </w:tr>
      <w:tr w:rsidR="00C517E3" w14:paraId="6870F639" w14:textId="77777777" w:rsidTr="00655E9E">
        <w:tc>
          <w:tcPr>
            <w:tcW w:w="566" w:type="dxa"/>
            <w:tcBorders>
              <w:top w:val="single" w:sz="6" w:space="0" w:color="auto"/>
              <w:left w:val="single" w:sz="6" w:space="0" w:color="auto"/>
              <w:bottom w:val="single" w:sz="6" w:space="0" w:color="auto"/>
              <w:right w:val="single" w:sz="6" w:space="0" w:color="auto"/>
            </w:tcBorders>
          </w:tcPr>
          <w:p w14:paraId="104B3C1B" w14:textId="77777777" w:rsidR="00C517E3" w:rsidRDefault="00C517E3">
            <w:pPr>
              <w:pStyle w:val="Style4"/>
              <w:widowControl/>
            </w:pPr>
          </w:p>
        </w:tc>
        <w:tc>
          <w:tcPr>
            <w:tcW w:w="1560" w:type="dxa"/>
            <w:tcBorders>
              <w:top w:val="single" w:sz="6" w:space="0" w:color="auto"/>
              <w:left w:val="single" w:sz="6" w:space="0" w:color="auto"/>
              <w:bottom w:val="single" w:sz="6" w:space="0" w:color="auto"/>
              <w:right w:val="single" w:sz="6" w:space="0" w:color="auto"/>
            </w:tcBorders>
            <w:vAlign w:val="center"/>
          </w:tcPr>
          <w:p w14:paraId="314D81FF" w14:textId="77777777" w:rsidR="00C517E3" w:rsidRDefault="00C148DB">
            <w:pPr>
              <w:pStyle w:val="Style3"/>
              <w:widowControl/>
              <w:spacing w:line="269" w:lineRule="exact"/>
              <w:ind w:left="230"/>
              <w:rPr>
                <w:rStyle w:val="FontStyle11"/>
              </w:rPr>
            </w:pPr>
            <w:r>
              <w:rPr>
                <w:rStyle w:val="FontStyle11"/>
              </w:rPr>
              <w:t>Organ wnoszący uwagi</w:t>
            </w:r>
          </w:p>
        </w:tc>
        <w:tc>
          <w:tcPr>
            <w:tcW w:w="1416" w:type="dxa"/>
            <w:tcBorders>
              <w:top w:val="single" w:sz="6" w:space="0" w:color="auto"/>
              <w:left w:val="single" w:sz="6" w:space="0" w:color="auto"/>
              <w:bottom w:val="single" w:sz="6" w:space="0" w:color="auto"/>
              <w:right w:val="single" w:sz="6" w:space="0" w:color="auto"/>
            </w:tcBorders>
            <w:vAlign w:val="center"/>
          </w:tcPr>
          <w:p w14:paraId="0580D13B" w14:textId="77777777" w:rsidR="00C517E3" w:rsidRDefault="00C148DB">
            <w:pPr>
              <w:pStyle w:val="Style3"/>
              <w:widowControl/>
              <w:spacing w:line="269" w:lineRule="exact"/>
              <w:rPr>
                <w:rStyle w:val="FontStyle11"/>
              </w:rPr>
            </w:pPr>
            <w:r>
              <w:rPr>
                <w:rStyle w:val="FontStyle11"/>
              </w:rPr>
              <w:t>Jednostka redakcyjna,</w:t>
            </w:r>
          </w:p>
          <w:p w14:paraId="39E783C0" w14:textId="77777777" w:rsidR="00C517E3" w:rsidRDefault="00C148DB">
            <w:pPr>
              <w:pStyle w:val="Style3"/>
              <w:widowControl/>
              <w:spacing w:line="269" w:lineRule="exact"/>
              <w:rPr>
                <w:rStyle w:val="FontStyle11"/>
              </w:rPr>
            </w:pPr>
            <w:r>
              <w:rPr>
                <w:rStyle w:val="FontStyle11"/>
              </w:rPr>
              <w:t>do której wnoszone są uwagi</w:t>
            </w:r>
          </w:p>
        </w:tc>
        <w:tc>
          <w:tcPr>
            <w:tcW w:w="3923" w:type="dxa"/>
            <w:tcBorders>
              <w:top w:val="single" w:sz="6" w:space="0" w:color="auto"/>
              <w:left w:val="single" w:sz="6" w:space="0" w:color="auto"/>
              <w:bottom w:val="single" w:sz="6" w:space="0" w:color="auto"/>
              <w:right w:val="single" w:sz="6" w:space="0" w:color="auto"/>
            </w:tcBorders>
            <w:vAlign w:val="center"/>
          </w:tcPr>
          <w:p w14:paraId="01B622E3" w14:textId="77777777" w:rsidR="00C517E3" w:rsidRDefault="00C148DB">
            <w:pPr>
              <w:pStyle w:val="Style3"/>
              <w:widowControl/>
              <w:spacing w:line="240" w:lineRule="auto"/>
              <w:ind w:left="2040"/>
              <w:jc w:val="left"/>
              <w:rPr>
                <w:rStyle w:val="FontStyle11"/>
              </w:rPr>
            </w:pPr>
            <w:r>
              <w:rPr>
                <w:rStyle w:val="FontStyle11"/>
              </w:rPr>
              <w:t>Treść uwagi</w:t>
            </w:r>
          </w:p>
        </w:tc>
        <w:tc>
          <w:tcPr>
            <w:tcW w:w="4678" w:type="dxa"/>
            <w:tcBorders>
              <w:top w:val="single" w:sz="6" w:space="0" w:color="auto"/>
              <w:left w:val="single" w:sz="6" w:space="0" w:color="auto"/>
              <w:bottom w:val="single" w:sz="6" w:space="0" w:color="auto"/>
              <w:right w:val="single" w:sz="6" w:space="0" w:color="auto"/>
            </w:tcBorders>
            <w:vAlign w:val="center"/>
          </w:tcPr>
          <w:p w14:paraId="4365128A" w14:textId="77777777" w:rsidR="00C517E3" w:rsidRDefault="00C148DB">
            <w:pPr>
              <w:pStyle w:val="Style3"/>
              <w:widowControl/>
              <w:spacing w:line="240" w:lineRule="auto"/>
              <w:ind w:left="1339"/>
              <w:jc w:val="left"/>
              <w:rPr>
                <w:rStyle w:val="FontStyle11"/>
              </w:rPr>
            </w:pPr>
            <w:r>
              <w:rPr>
                <w:rStyle w:val="FontStyle11"/>
              </w:rPr>
              <w:t>Propozycja zmian zapisu</w:t>
            </w:r>
          </w:p>
        </w:tc>
        <w:tc>
          <w:tcPr>
            <w:tcW w:w="3592" w:type="dxa"/>
            <w:tcBorders>
              <w:top w:val="single" w:sz="6" w:space="0" w:color="auto"/>
              <w:left w:val="single" w:sz="6" w:space="0" w:color="auto"/>
              <w:bottom w:val="single" w:sz="6" w:space="0" w:color="auto"/>
              <w:right w:val="single" w:sz="6" w:space="0" w:color="auto"/>
            </w:tcBorders>
            <w:vAlign w:val="center"/>
          </w:tcPr>
          <w:p w14:paraId="17851B31" w14:textId="77777777" w:rsidR="00C517E3" w:rsidRDefault="00C148DB">
            <w:pPr>
              <w:pStyle w:val="Style3"/>
              <w:widowControl/>
              <w:spacing w:line="264" w:lineRule="exact"/>
              <w:jc w:val="left"/>
              <w:rPr>
                <w:rStyle w:val="FontStyle11"/>
              </w:rPr>
            </w:pPr>
            <w:r>
              <w:rPr>
                <w:rStyle w:val="FontStyle11"/>
              </w:rPr>
              <w:t>Odniesienie do uwagi</w:t>
            </w:r>
          </w:p>
        </w:tc>
      </w:tr>
      <w:tr w:rsidR="00C517E3" w:rsidRPr="00C148DB" w14:paraId="5039C5AB" w14:textId="77777777" w:rsidTr="00655E9E">
        <w:tc>
          <w:tcPr>
            <w:tcW w:w="566" w:type="dxa"/>
            <w:tcBorders>
              <w:top w:val="single" w:sz="6" w:space="0" w:color="auto"/>
              <w:left w:val="single" w:sz="6" w:space="0" w:color="auto"/>
              <w:bottom w:val="single" w:sz="6" w:space="0" w:color="auto"/>
              <w:right w:val="single" w:sz="6" w:space="0" w:color="auto"/>
            </w:tcBorders>
          </w:tcPr>
          <w:p w14:paraId="50A2D73A" w14:textId="77777777" w:rsidR="00C517E3" w:rsidRPr="00C148DB" w:rsidRDefault="00C148DB" w:rsidP="00C148DB">
            <w:pPr>
              <w:pStyle w:val="Style3"/>
              <w:widowControl/>
              <w:spacing w:line="240" w:lineRule="auto"/>
              <w:jc w:val="both"/>
              <w:rPr>
                <w:rStyle w:val="FontStyle11"/>
              </w:rPr>
            </w:pPr>
            <w:r w:rsidRPr="00C148DB">
              <w:rPr>
                <w:rStyle w:val="FontStyle11"/>
              </w:rPr>
              <w:t>1.</w:t>
            </w:r>
          </w:p>
        </w:tc>
        <w:tc>
          <w:tcPr>
            <w:tcW w:w="1560" w:type="dxa"/>
            <w:tcBorders>
              <w:top w:val="single" w:sz="6" w:space="0" w:color="auto"/>
              <w:left w:val="single" w:sz="6" w:space="0" w:color="auto"/>
              <w:bottom w:val="single" w:sz="6" w:space="0" w:color="auto"/>
              <w:right w:val="single" w:sz="6" w:space="0" w:color="auto"/>
            </w:tcBorders>
          </w:tcPr>
          <w:p w14:paraId="1227A2D7" w14:textId="77777777" w:rsidR="00C517E3" w:rsidRPr="00A95F52" w:rsidRDefault="00C148DB" w:rsidP="00A95F52">
            <w:pPr>
              <w:pStyle w:val="Style1"/>
              <w:widowControl/>
              <w:spacing w:line="264" w:lineRule="exact"/>
              <w:jc w:val="both"/>
              <w:rPr>
                <w:rStyle w:val="FontStyle12"/>
              </w:rPr>
            </w:pPr>
            <w:r w:rsidRPr="00A95F52">
              <w:rPr>
                <w:rStyle w:val="FontStyle12"/>
              </w:rPr>
              <w:t>Ministerstwo</w:t>
            </w:r>
          </w:p>
          <w:p w14:paraId="159ED29F" w14:textId="77777777" w:rsidR="00C517E3" w:rsidRPr="00A95F52" w:rsidRDefault="00C148DB" w:rsidP="00A95F52">
            <w:pPr>
              <w:pStyle w:val="Style1"/>
              <w:widowControl/>
              <w:spacing w:line="264" w:lineRule="exact"/>
              <w:jc w:val="both"/>
              <w:rPr>
                <w:rStyle w:val="FontStyle12"/>
              </w:rPr>
            </w:pPr>
            <w:r w:rsidRPr="00A95F52">
              <w:rPr>
                <w:rStyle w:val="FontStyle12"/>
              </w:rPr>
              <w:t>Klimatu i Środowiska</w:t>
            </w:r>
          </w:p>
        </w:tc>
        <w:tc>
          <w:tcPr>
            <w:tcW w:w="1416" w:type="dxa"/>
            <w:tcBorders>
              <w:top w:val="single" w:sz="6" w:space="0" w:color="auto"/>
              <w:left w:val="single" w:sz="6" w:space="0" w:color="auto"/>
              <w:bottom w:val="single" w:sz="6" w:space="0" w:color="auto"/>
              <w:right w:val="single" w:sz="6" w:space="0" w:color="auto"/>
            </w:tcBorders>
          </w:tcPr>
          <w:p w14:paraId="0902E04D" w14:textId="77777777" w:rsidR="00C517E3" w:rsidRPr="00A95F52" w:rsidRDefault="00C148DB" w:rsidP="00A95F52">
            <w:pPr>
              <w:pStyle w:val="Style1"/>
              <w:widowControl/>
              <w:spacing w:line="240" w:lineRule="auto"/>
              <w:jc w:val="both"/>
              <w:rPr>
                <w:rStyle w:val="FontStyle12"/>
              </w:rPr>
            </w:pPr>
            <w:r w:rsidRPr="00A95F52">
              <w:rPr>
                <w:rStyle w:val="FontStyle12"/>
              </w:rPr>
              <w:t>§ 2 pkt 1</w:t>
            </w:r>
          </w:p>
        </w:tc>
        <w:tc>
          <w:tcPr>
            <w:tcW w:w="3923" w:type="dxa"/>
            <w:tcBorders>
              <w:top w:val="single" w:sz="6" w:space="0" w:color="auto"/>
              <w:left w:val="single" w:sz="6" w:space="0" w:color="auto"/>
              <w:bottom w:val="single" w:sz="6" w:space="0" w:color="auto"/>
              <w:right w:val="single" w:sz="6" w:space="0" w:color="auto"/>
            </w:tcBorders>
          </w:tcPr>
          <w:p w14:paraId="4E63A8D6" w14:textId="77777777" w:rsidR="00C517E3" w:rsidRPr="00A95F52" w:rsidRDefault="00C148DB" w:rsidP="00A95F52">
            <w:pPr>
              <w:pStyle w:val="Style2"/>
              <w:widowControl/>
              <w:ind w:left="5" w:hanging="5"/>
              <w:rPr>
                <w:rStyle w:val="FontStyle12"/>
              </w:rPr>
            </w:pPr>
            <w:r w:rsidRPr="00A95F52">
              <w:rPr>
                <w:rStyle w:val="FontStyle12"/>
              </w:rPr>
              <w:t>W pkt 1 została zawarta definicja właściciela konta, jednakże z definicji nie wynika dla jakiego podmiotu może zostać założone konto w systemie teleinformatycznym.</w:t>
            </w:r>
          </w:p>
        </w:tc>
        <w:tc>
          <w:tcPr>
            <w:tcW w:w="4678" w:type="dxa"/>
            <w:tcBorders>
              <w:top w:val="single" w:sz="6" w:space="0" w:color="auto"/>
              <w:left w:val="single" w:sz="6" w:space="0" w:color="auto"/>
              <w:bottom w:val="single" w:sz="6" w:space="0" w:color="auto"/>
              <w:right w:val="single" w:sz="6" w:space="0" w:color="auto"/>
            </w:tcBorders>
          </w:tcPr>
          <w:p w14:paraId="605102CA" w14:textId="77777777" w:rsidR="00C517E3" w:rsidRPr="00A95F52" w:rsidRDefault="00C148DB" w:rsidP="00A95F52">
            <w:pPr>
              <w:pStyle w:val="Style2"/>
              <w:widowControl/>
              <w:ind w:right="5" w:firstLine="10"/>
              <w:rPr>
                <w:rStyle w:val="FontStyle12"/>
              </w:rPr>
            </w:pPr>
            <w:r w:rsidRPr="00A95F52">
              <w:rPr>
                <w:rStyle w:val="FontStyle12"/>
              </w:rPr>
              <w:t>Proponuje się doprecyzowanie tej definicji poprzez wskazanie podmiotów, które mogą być właścicielami konta w systemie teleinformatycznym.</w:t>
            </w:r>
          </w:p>
        </w:tc>
        <w:tc>
          <w:tcPr>
            <w:tcW w:w="3592" w:type="dxa"/>
            <w:tcBorders>
              <w:top w:val="single" w:sz="6" w:space="0" w:color="auto"/>
              <w:left w:val="single" w:sz="6" w:space="0" w:color="auto"/>
              <w:bottom w:val="single" w:sz="6" w:space="0" w:color="auto"/>
              <w:right w:val="single" w:sz="6" w:space="0" w:color="auto"/>
            </w:tcBorders>
          </w:tcPr>
          <w:p w14:paraId="1EE4F28D" w14:textId="6D0AA4E9" w:rsidR="00C517E3" w:rsidRPr="00A95F52" w:rsidRDefault="00043D65" w:rsidP="00A95F52">
            <w:pPr>
              <w:pStyle w:val="Style4"/>
              <w:widowControl/>
              <w:jc w:val="both"/>
              <w:rPr>
                <w:sz w:val="20"/>
                <w:szCs w:val="20"/>
              </w:rPr>
            </w:pPr>
            <w:r w:rsidRPr="00A95F52">
              <w:rPr>
                <w:sz w:val="20"/>
                <w:szCs w:val="20"/>
              </w:rPr>
              <w:t xml:space="preserve">Projektodawca przyjął </w:t>
            </w:r>
            <w:r w:rsidR="00A91B96" w:rsidRPr="00A95F52">
              <w:rPr>
                <w:sz w:val="20"/>
                <w:szCs w:val="20"/>
              </w:rPr>
              <w:t>szeroką</w:t>
            </w:r>
            <w:r w:rsidR="00A91B96">
              <w:rPr>
                <w:sz w:val="20"/>
                <w:szCs w:val="20"/>
              </w:rPr>
              <w:t xml:space="preserve"> </w:t>
            </w:r>
            <w:r w:rsidR="00A91B96" w:rsidRPr="00A95F52">
              <w:rPr>
                <w:sz w:val="20"/>
                <w:szCs w:val="20"/>
              </w:rPr>
              <w:t>koncepcję</w:t>
            </w:r>
            <w:r w:rsidRPr="00A95F52">
              <w:rPr>
                <w:sz w:val="20"/>
                <w:szCs w:val="20"/>
              </w:rPr>
              <w:t xml:space="preserve"> zakładania konta w systemie teleinformatycznym obsługującym postępowanie sądowe. Uprawnienie do założenia konta przysługuje każdemu podmiotowi prawa, który może uczestniczyć w postępowaniach sądowych.    </w:t>
            </w:r>
          </w:p>
        </w:tc>
      </w:tr>
      <w:tr w:rsidR="00C517E3" w:rsidRPr="00C148DB" w14:paraId="6E3D3632" w14:textId="77777777" w:rsidTr="00655E9E">
        <w:tc>
          <w:tcPr>
            <w:tcW w:w="566" w:type="dxa"/>
            <w:tcBorders>
              <w:top w:val="single" w:sz="6" w:space="0" w:color="auto"/>
              <w:left w:val="single" w:sz="6" w:space="0" w:color="auto"/>
              <w:bottom w:val="single" w:sz="6" w:space="0" w:color="auto"/>
              <w:right w:val="single" w:sz="6" w:space="0" w:color="auto"/>
            </w:tcBorders>
          </w:tcPr>
          <w:p w14:paraId="5360FEAC" w14:textId="77777777" w:rsidR="00C517E3" w:rsidRPr="00C148DB" w:rsidRDefault="00C148DB" w:rsidP="00C148DB">
            <w:pPr>
              <w:pStyle w:val="Style3"/>
              <w:widowControl/>
              <w:spacing w:line="240" w:lineRule="auto"/>
              <w:jc w:val="both"/>
              <w:rPr>
                <w:rStyle w:val="FontStyle11"/>
              </w:rPr>
            </w:pPr>
            <w:r w:rsidRPr="00C148DB">
              <w:rPr>
                <w:rStyle w:val="FontStyle11"/>
              </w:rPr>
              <w:t>2.</w:t>
            </w:r>
          </w:p>
        </w:tc>
        <w:tc>
          <w:tcPr>
            <w:tcW w:w="1560" w:type="dxa"/>
            <w:tcBorders>
              <w:top w:val="single" w:sz="6" w:space="0" w:color="auto"/>
              <w:left w:val="single" w:sz="6" w:space="0" w:color="auto"/>
              <w:bottom w:val="single" w:sz="6" w:space="0" w:color="auto"/>
              <w:right w:val="single" w:sz="6" w:space="0" w:color="auto"/>
            </w:tcBorders>
          </w:tcPr>
          <w:p w14:paraId="4B16E640" w14:textId="77777777" w:rsidR="00C517E3" w:rsidRPr="00A95F52" w:rsidRDefault="00C148DB" w:rsidP="00A95F52">
            <w:pPr>
              <w:pStyle w:val="Style1"/>
              <w:widowControl/>
              <w:jc w:val="both"/>
              <w:rPr>
                <w:rStyle w:val="FontStyle12"/>
              </w:rPr>
            </w:pPr>
            <w:r w:rsidRPr="00A95F52">
              <w:rPr>
                <w:rStyle w:val="FontStyle12"/>
              </w:rPr>
              <w:t>Ministerstwo</w:t>
            </w:r>
          </w:p>
          <w:p w14:paraId="488BEFF4" w14:textId="77777777" w:rsidR="00C517E3" w:rsidRPr="00A95F52" w:rsidRDefault="00C148DB" w:rsidP="00A95F52">
            <w:pPr>
              <w:pStyle w:val="Style1"/>
              <w:widowControl/>
              <w:jc w:val="both"/>
              <w:rPr>
                <w:rStyle w:val="FontStyle12"/>
              </w:rPr>
            </w:pPr>
            <w:r w:rsidRPr="00A95F52">
              <w:rPr>
                <w:rStyle w:val="FontStyle12"/>
              </w:rPr>
              <w:t>Klimatu i Środowiska</w:t>
            </w:r>
          </w:p>
        </w:tc>
        <w:tc>
          <w:tcPr>
            <w:tcW w:w="1416" w:type="dxa"/>
            <w:tcBorders>
              <w:top w:val="single" w:sz="6" w:space="0" w:color="auto"/>
              <w:left w:val="single" w:sz="6" w:space="0" w:color="auto"/>
              <w:bottom w:val="single" w:sz="6" w:space="0" w:color="auto"/>
              <w:right w:val="single" w:sz="6" w:space="0" w:color="auto"/>
            </w:tcBorders>
          </w:tcPr>
          <w:p w14:paraId="3B814127" w14:textId="77777777" w:rsidR="00C517E3" w:rsidRPr="00A95F52" w:rsidRDefault="00C148DB" w:rsidP="00A95F52">
            <w:pPr>
              <w:pStyle w:val="Style1"/>
              <w:widowControl/>
              <w:spacing w:line="240" w:lineRule="auto"/>
              <w:jc w:val="both"/>
              <w:rPr>
                <w:rStyle w:val="FontStyle12"/>
              </w:rPr>
            </w:pPr>
            <w:r w:rsidRPr="00A95F52">
              <w:rPr>
                <w:rStyle w:val="FontStyle12"/>
              </w:rPr>
              <w:t>§ 5</w:t>
            </w:r>
          </w:p>
        </w:tc>
        <w:tc>
          <w:tcPr>
            <w:tcW w:w="3923" w:type="dxa"/>
            <w:tcBorders>
              <w:top w:val="single" w:sz="6" w:space="0" w:color="auto"/>
              <w:left w:val="single" w:sz="6" w:space="0" w:color="auto"/>
              <w:bottom w:val="single" w:sz="6" w:space="0" w:color="auto"/>
              <w:right w:val="single" w:sz="6" w:space="0" w:color="auto"/>
            </w:tcBorders>
          </w:tcPr>
          <w:p w14:paraId="68AD4304" w14:textId="77777777" w:rsidR="00C517E3" w:rsidRPr="00A95F52" w:rsidRDefault="00C148DB" w:rsidP="00A95F52">
            <w:pPr>
              <w:pStyle w:val="Style2"/>
              <w:widowControl/>
              <w:spacing w:line="264" w:lineRule="exact"/>
              <w:ind w:firstLine="5"/>
              <w:rPr>
                <w:rStyle w:val="FontStyle12"/>
              </w:rPr>
            </w:pPr>
            <w:r w:rsidRPr="00A95F52">
              <w:rPr>
                <w:rStyle w:val="FontStyle12"/>
              </w:rPr>
              <w:t xml:space="preserve">§ 5 reguluje procedurę zakładania konta dla podmiotu niebędącego osobą fizyczną, jednakże pojęcie podmiotu niebędącego osobą fizyczną nie zostało zdefiniowane. W konsekwencji zachodzi wątpliwość czy procedura ta znajdzie zastosowanie również do zakładania kont Skarbu Państwa, a jeżeli tak, to ile kont należałoby założyć w sytuacji, gdy dany podmiot może wystąpić w różnych konfiguracjach (np. Skarb Państwa - minister i minister jako organ oraz Skarb Państwa - </w:t>
            </w:r>
            <w:r w:rsidRPr="00A95F52">
              <w:rPr>
                <w:rStyle w:val="FontStyle12"/>
              </w:rPr>
              <w:lastRenderedPageBreak/>
              <w:t>ministerstwo i ministerstwo jako jednostka budżetowa).</w:t>
            </w:r>
          </w:p>
        </w:tc>
        <w:tc>
          <w:tcPr>
            <w:tcW w:w="4678" w:type="dxa"/>
            <w:tcBorders>
              <w:top w:val="single" w:sz="6" w:space="0" w:color="auto"/>
              <w:left w:val="single" w:sz="6" w:space="0" w:color="auto"/>
              <w:bottom w:val="single" w:sz="6" w:space="0" w:color="auto"/>
              <w:right w:val="single" w:sz="6" w:space="0" w:color="auto"/>
            </w:tcBorders>
          </w:tcPr>
          <w:p w14:paraId="59F0E617" w14:textId="77777777" w:rsidR="00C517E3" w:rsidRPr="00A95F52" w:rsidRDefault="00C148DB" w:rsidP="00A95F52">
            <w:pPr>
              <w:pStyle w:val="Style2"/>
              <w:widowControl/>
              <w:ind w:firstLine="10"/>
              <w:rPr>
                <w:rStyle w:val="FontStyle12"/>
              </w:rPr>
            </w:pPr>
            <w:r w:rsidRPr="00A95F52">
              <w:rPr>
                <w:rStyle w:val="FontStyle12"/>
              </w:rPr>
              <w:lastRenderedPageBreak/>
              <w:t>Proponuje się doprecyzowanie procedury zakładania konta dla podmiotu niebędącego osobą fizyczną poprzez zdefiniowanie tej kategorii podmiotów. Wyodrębnienie sytuacji, gdy konto będzie zakładane dla podmiotu publicznego oraz precyzyjne określenie, że dany podmiot publiczny winien posługiwać się jednym kontem w systemie teleinformatycznym, niezależnie od tego w jakich konfiguracjach występuje w procesie.</w:t>
            </w:r>
          </w:p>
        </w:tc>
        <w:tc>
          <w:tcPr>
            <w:tcW w:w="3592" w:type="dxa"/>
            <w:tcBorders>
              <w:top w:val="single" w:sz="6" w:space="0" w:color="auto"/>
              <w:left w:val="single" w:sz="6" w:space="0" w:color="auto"/>
              <w:bottom w:val="single" w:sz="6" w:space="0" w:color="auto"/>
              <w:right w:val="single" w:sz="6" w:space="0" w:color="auto"/>
            </w:tcBorders>
          </w:tcPr>
          <w:p w14:paraId="0955D31C" w14:textId="5A3F35CF" w:rsidR="00C517E3" w:rsidRPr="00A95F52" w:rsidRDefault="00043D65" w:rsidP="00A95F52">
            <w:pPr>
              <w:pStyle w:val="Style4"/>
              <w:widowControl/>
              <w:jc w:val="both"/>
              <w:rPr>
                <w:sz w:val="20"/>
                <w:szCs w:val="20"/>
              </w:rPr>
            </w:pPr>
            <w:r w:rsidRPr="00A95F52">
              <w:rPr>
                <w:sz w:val="20"/>
                <w:szCs w:val="20"/>
              </w:rPr>
              <w:t>Odp. jak wyżej.</w:t>
            </w:r>
          </w:p>
          <w:p w14:paraId="460038FD" w14:textId="7DF7191D" w:rsidR="003167F8" w:rsidRPr="00A95F52" w:rsidRDefault="003167F8" w:rsidP="00A95F52">
            <w:pPr>
              <w:pStyle w:val="Style4"/>
              <w:widowControl/>
              <w:jc w:val="both"/>
              <w:rPr>
                <w:sz w:val="20"/>
                <w:szCs w:val="20"/>
              </w:rPr>
            </w:pPr>
            <w:r w:rsidRPr="00A95F52">
              <w:rPr>
                <w:sz w:val="20"/>
                <w:szCs w:val="20"/>
              </w:rPr>
              <w:t xml:space="preserve">Procedura znajdzie zastosowanie również do zakładania kont Skarbu Państwa. </w:t>
            </w:r>
          </w:p>
          <w:p w14:paraId="22C61752" w14:textId="77777777" w:rsidR="003167F8" w:rsidRPr="00A95F52" w:rsidRDefault="003167F8" w:rsidP="00A95F52">
            <w:pPr>
              <w:pStyle w:val="Style4"/>
              <w:widowControl/>
              <w:jc w:val="both"/>
              <w:rPr>
                <w:sz w:val="20"/>
                <w:szCs w:val="20"/>
              </w:rPr>
            </w:pPr>
            <w:r w:rsidRPr="00A95F52">
              <w:rPr>
                <w:sz w:val="20"/>
                <w:szCs w:val="20"/>
              </w:rPr>
              <w:t>Przy czym z perspektywy</w:t>
            </w:r>
            <w:r w:rsidR="00043D65" w:rsidRPr="00A95F52">
              <w:rPr>
                <w:sz w:val="20"/>
                <w:szCs w:val="20"/>
              </w:rPr>
              <w:t xml:space="preserve"> postępowania sądowego nie celowe jest</w:t>
            </w:r>
            <w:r w:rsidRPr="00A95F52">
              <w:rPr>
                <w:sz w:val="20"/>
                <w:szCs w:val="20"/>
              </w:rPr>
              <w:t xml:space="preserve"> multiplikowania kont z uwagi na charakter jaki zajmuje Minister w postępowaniu sądowym. </w:t>
            </w:r>
          </w:p>
          <w:p w14:paraId="09B7E0F1" w14:textId="7EA279C2" w:rsidR="00043D65" w:rsidRPr="00A95F52" w:rsidRDefault="003167F8" w:rsidP="00A95F52">
            <w:pPr>
              <w:pStyle w:val="Style4"/>
              <w:widowControl/>
              <w:jc w:val="both"/>
              <w:rPr>
                <w:sz w:val="20"/>
                <w:szCs w:val="20"/>
              </w:rPr>
            </w:pPr>
            <w:r w:rsidRPr="00A95F52">
              <w:rPr>
                <w:sz w:val="20"/>
                <w:szCs w:val="20"/>
              </w:rPr>
              <w:t xml:space="preserve">Jest to kwestia </w:t>
            </w:r>
            <w:r w:rsidRPr="00A95F52">
              <w:rPr>
                <w:i/>
                <w:iCs/>
                <w:sz w:val="20"/>
                <w:szCs w:val="20"/>
              </w:rPr>
              <w:t xml:space="preserve">stricte </w:t>
            </w:r>
            <w:r w:rsidRPr="00A95F52">
              <w:rPr>
                <w:sz w:val="20"/>
                <w:szCs w:val="20"/>
              </w:rPr>
              <w:t>procesowa, która dla rozwiązań technicznych nie ma znaczenia. Rola w jakiej występuje Minister w danym postępowaniu</w:t>
            </w:r>
            <w:r w:rsidR="00655E9E" w:rsidRPr="00A95F52">
              <w:rPr>
                <w:sz w:val="20"/>
                <w:szCs w:val="20"/>
              </w:rPr>
              <w:t>,</w:t>
            </w:r>
            <w:r w:rsidRPr="00A95F52">
              <w:rPr>
                <w:sz w:val="20"/>
                <w:szCs w:val="20"/>
              </w:rPr>
              <w:t xml:space="preserve"> zgodnie z ogólnymi </w:t>
            </w:r>
            <w:r w:rsidRPr="00A95F52">
              <w:rPr>
                <w:sz w:val="20"/>
                <w:szCs w:val="20"/>
              </w:rPr>
              <w:lastRenderedPageBreak/>
              <w:t xml:space="preserve">zasadami </w:t>
            </w:r>
            <w:r w:rsidR="00655E9E" w:rsidRPr="00A95F52">
              <w:rPr>
                <w:sz w:val="20"/>
                <w:szCs w:val="20"/>
              </w:rPr>
              <w:t xml:space="preserve">postępowań sądowych, </w:t>
            </w:r>
            <w:r w:rsidRPr="00A95F52">
              <w:rPr>
                <w:sz w:val="20"/>
                <w:szCs w:val="20"/>
              </w:rPr>
              <w:t>pomiot ten określa w piśmie procesowym.</w:t>
            </w:r>
          </w:p>
        </w:tc>
      </w:tr>
      <w:tr w:rsidR="00A95F52" w:rsidRPr="00C148DB" w14:paraId="2842ADB5" w14:textId="77777777" w:rsidTr="008060DA">
        <w:tc>
          <w:tcPr>
            <w:tcW w:w="566" w:type="dxa"/>
            <w:tcBorders>
              <w:top w:val="single" w:sz="6" w:space="0" w:color="auto"/>
              <w:left w:val="single" w:sz="6" w:space="0" w:color="auto"/>
              <w:bottom w:val="single" w:sz="6" w:space="0" w:color="auto"/>
              <w:right w:val="single" w:sz="6" w:space="0" w:color="auto"/>
            </w:tcBorders>
          </w:tcPr>
          <w:p w14:paraId="726EE950" w14:textId="4CCF4FA3" w:rsidR="00A95F52" w:rsidRPr="00C148DB" w:rsidRDefault="00A95F52" w:rsidP="008060DA">
            <w:pPr>
              <w:pStyle w:val="Style3"/>
              <w:widowControl/>
              <w:spacing w:line="240" w:lineRule="auto"/>
              <w:jc w:val="both"/>
              <w:rPr>
                <w:rStyle w:val="FontStyle11"/>
              </w:rPr>
            </w:pPr>
            <w:r>
              <w:rPr>
                <w:rStyle w:val="FontStyle11"/>
              </w:rPr>
              <w:lastRenderedPageBreak/>
              <w:t>3</w:t>
            </w:r>
            <w:r w:rsidRPr="00C148DB">
              <w:rPr>
                <w:rStyle w:val="FontStyle11"/>
              </w:rPr>
              <w:t>.</w:t>
            </w:r>
          </w:p>
        </w:tc>
        <w:tc>
          <w:tcPr>
            <w:tcW w:w="1560" w:type="dxa"/>
            <w:tcBorders>
              <w:top w:val="single" w:sz="6" w:space="0" w:color="auto"/>
              <w:left w:val="single" w:sz="6" w:space="0" w:color="auto"/>
              <w:bottom w:val="single" w:sz="6" w:space="0" w:color="auto"/>
              <w:right w:val="single" w:sz="6" w:space="0" w:color="auto"/>
            </w:tcBorders>
          </w:tcPr>
          <w:p w14:paraId="23F9869E" w14:textId="77777777" w:rsidR="00A95F52" w:rsidRPr="00A95F52" w:rsidRDefault="00A95F52" w:rsidP="00A95F52">
            <w:pPr>
              <w:pStyle w:val="Style1"/>
              <w:widowControl/>
              <w:spacing w:line="264" w:lineRule="exact"/>
              <w:jc w:val="both"/>
              <w:rPr>
                <w:rStyle w:val="FontStyle12"/>
              </w:rPr>
            </w:pPr>
            <w:r w:rsidRPr="00A95F52">
              <w:rPr>
                <w:rStyle w:val="FontStyle12"/>
              </w:rPr>
              <w:t>Ministerstwo</w:t>
            </w:r>
          </w:p>
          <w:p w14:paraId="36AE2C3F" w14:textId="30B9B455" w:rsidR="00A95F52" w:rsidRPr="00A95F52" w:rsidRDefault="00A95F52" w:rsidP="00A95F52">
            <w:pPr>
              <w:pStyle w:val="Style1"/>
              <w:widowControl/>
              <w:spacing w:line="264" w:lineRule="exact"/>
              <w:jc w:val="both"/>
              <w:rPr>
                <w:rStyle w:val="FontStyle12"/>
              </w:rPr>
            </w:pPr>
            <w:r w:rsidRPr="00A95F52">
              <w:rPr>
                <w:rStyle w:val="FontStyle12"/>
              </w:rPr>
              <w:t>Rozwoju Pracy i Technologii</w:t>
            </w:r>
          </w:p>
        </w:tc>
        <w:tc>
          <w:tcPr>
            <w:tcW w:w="1416" w:type="dxa"/>
            <w:tcBorders>
              <w:top w:val="single" w:sz="6" w:space="0" w:color="auto"/>
              <w:left w:val="single" w:sz="6" w:space="0" w:color="auto"/>
              <w:bottom w:val="single" w:sz="6" w:space="0" w:color="auto"/>
              <w:right w:val="single" w:sz="6" w:space="0" w:color="auto"/>
            </w:tcBorders>
          </w:tcPr>
          <w:p w14:paraId="52E4465A" w14:textId="1554F399" w:rsidR="00A95F52" w:rsidRPr="00A95F52" w:rsidRDefault="00A95F52" w:rsidP="00A95F52">
            <w:pPr>
              <w:pStyle w:val="Style1"/>
              <w:widowControl/>
              <w:spacing w:line="240" w:lineRule="auto"/>
              <w:jc w:val="both"/>
              <w:rPr>
                <w:rStyle w:val="FontStyle12"/>
                <w:rFonts w:asciiTheme="minorHAnsi" w:hAnsiTheme="minorHAnsi" w:cstheme="minorHAnsi"/>
              </w:rPr>
            </w:pPr>
            <w:r w:rsidRPr="00A95F52">
              <w:rPr>
                <w:rFonts w:asciiTheme="minorHAnsi" w:hAnsiTheme="minorHAnsi" w:cstheme="minorHAnsi"/>
                <w:sz w:val="20"/>
                <w:szCs w:val="20"/>
              </w:rPr>
              <w:t>Uwaga ogólna</w:t>
            </w:r>
          </w:p>
        </w:tc>
        <w:tc>
          <w:tcPr>
            <w:tcW w:w="3923" w:type="dxa"/>
            <w:tcBorders>
              <w:top w:val="single" w:sz="6" w:space="0" w:color="auto"/>
              <w:left w:val="single" w:sz="6" w:space="0" w:color="auto"/>
              <w:bottom w:val="single" w:sz="6" w:space="0" w:color="auto"/>
              <w:right w:val="single" w:sz="6" w:space="0" w:color="auto"/>
            </w:tcBorders>
          </w:tcPr>
          <w:p w14:paraId="7A913181" w14:textId="68C9B7BA" w:rsidR="00A95F52" w:rsidRPr="00A95F52" w:rsidRDefault="00A95F52" w:rsidP="00A95F52">
            <w:pPr>
              <w:widowControl/>
              <w:jc w:val="both"/>
              <w:rPr>
                <w:sz w:val="20"/>
                <w:szCs w:val="20"/>
              </w:rPr>
            </w:pPr>
            <w:r w:rsidRPr="00A95F52">
              <w:rPr>
                <w:sz w:val="20"/>
                <w:szCs w:val="20"/>
              </w:rPr>
              <w:t>DDP zwraca uwagę, że w myśl art. 16 ust. 1 ustawy</w:t>
            </w:r>
            <w:r w:rsidRPr="00A95F52">
              <w:rPr>
                <w:sz w:val="20"/>
                <w:szCs w:val="20"/>
              </w:rPr>
              <w:t xml:space="preserve"> </w:t>
            </w:r>
            <w:r w:rsidRPr="00A95F52">
              <w:rPr>
                <w:sz w:val="20"/>
                <w:szCs w:val="20"/>
              </w:rPr>
              <w:t>z 23.5. 1991 r. o organizacjach pracodawców,</w:t>
            </w:r>
            <w:r w:rsidRPr="00A95F52">
              <w:rPr>
                <w:sz w:val="20"/>
                <w:szCs w:val="20"/>
              </w:rPr>
              <w:t xml:space="preserve"> </w:t>
            </w:r>
            <w:r w:rsidRPr="00A95F52">
              <w:rPr>
                <w:sz w:val="20"/>
                <w:szCs w:val="20"/>
              </w:rPr>
              <w:t>organizacja pracodawców, reprezentatywna w</w:t>
            </w:r>
            <w:r w:rsidRPr="00A95F52">
              <w:rPr>
                <w:sz w:val="20"/>
                <w:szCs w:val="20"/>
              </w:rPr>
              <w:t xml:space="preserve"> </w:t>
            </w:r>
            <w:r w:rsidRPr="00A95F52">
              <w:rPr>
                <w:sz w:val="20"/>
                <w:szCs w:val="20"/>
              </w:rPr>
              <w:t>rozumieniu ustawy o RDS, ma prawo opiniowania</w:t>
            </w:r>
            <w:r w:rsidRPr="00A95F52">
              <w:rPr>
                <w:sz w:val="20"/>
                <w:szCs w:val="20"/>
              </w:rPr>
              <w:t xml:space="preserve"> </w:t>
            </w:r>
            <w:r w:rsidRPr="00A95F52">
              <w:rPr>
                <w:sz w:val="20"/>
                <w:szCs w:val="20"/>
              </w:rPr>
              <w:t>założeń i projektów aktów prawnych w zakresie</w:t>
            </w:r>
          </w:p>
          <w:p w14:paraId="499D7DE0" w14:textId="709C0905" w:rsidR="00A95F52" w:rsidRPr="00A95F52" w:rsidRDefault="00A95F52" w:rsidP="00A95F52">
            <w:pPr>
              <w:widowControl/>
              <w:jc w:val="both"/>
              <w:rPr>
                <w:sz w:val="20"/>
                <w:szCs w:val="20"/>
              </w:rPr>
            </w:pPr>
            <w:r w:rsidRPr="00A95F52">
              <w:rPr>
                <w:sz w:val="20"/>
                <w:szCs w:val="20"/>
              </w:rPr>
              <w:t>praw i interesów związków pracodawców. Z OSR</w:t>
            </w:r>
            <w:r w:rsidRPr="00A95F52">
              <w:rPr>
                <w:sz w:val="20"/>
                <w:szCs w:val="20"/>
              </w:rPr>
              <w:t xml:space="preserve"> </w:t>
            </w:r>
            <w:r w:rsidRPr="00A95F52">
              <w:rPr>
                <w:sz w:val="20"/>
                <w:szCs w:val="20"/>
              </w:rPr>
              <w:t>wynika, że w ramach opinii i konsultacji</w:t>
            </w:r>
            <w:r w:rsidRPr="00A95F52">
              <w:rPr>
                <w:sz w:val="20"/>
                <w:szCs w:val="20"/>
              </w:rPr>
              <w:t xml:space="preserve"> </w:t>
            </w:r>
            <w:r w:rsidRPr="00A95F52">
              <w:rPr>
                <w:sz w:val="20"/>
                <w:szCs w:val="20"/>
              </w:rPr>
              <w:t>publicznych projekt został skierowany do BCC,</w:t>
            </w:r>
            <w:r w:rsidRPr="00A95F52">
              <w:rPr>
                <w:sz w:val="20"/>
                <w:szCs w:val="20"/>
              </w:rPr>
              <w:t xml:space="preserve"> </w:t>
            </w:r>
            <w:r w:rsidRPr="00A95F52">
              <w:rPr>
                <w:sz w:val="20"/>
                <w:szCs w:val="20"/>
              </w:rPr>
              <w:t>Lewiatana, Związku Rzemiosła Polskiego, Związku</w:t>
            </w:r>
            <w:r w:rsidRPr="00A95F52">
              <w:rPr>
                <w:sz w:val="20"/>
                <w:szCs w:val="20"/>
              </w:rPr>
              <w:t xml:space="preserve"> </w:t>
            </w:r>
            <w:r w:rsidRPr="00A95F52">
              <w:rPr>
                <w:sz w:val="20"/>
                <w:szCs w:val="20"/>
              </w:rPr>
              <w:t>Przedsiębiorców i Pracodawców oraz</w:t>
            </w:r>
          </w:p>
          <w:p w14:paraId="1A6BBFE4" w14:textId="1CF29A67" w:rsidR="00A95F52" w:rsidRPr="00A95F52" w:rsidRDefault="00A95F52" w:rsidP="00A95F52">
            <w:pPr>
              <w:widowControl/>
              <w:jc w:val="both"/>
              <w:rPr>
                <w:rStyle w:val="FontStyle12"/>
              </w:rPr>
            </w:pPr>
            <w:r w:rsidRPr="00A95F52">
              <w:rPr>
                <w:sz w:val="20"/>
                <w:szCs w:val="20"/>
              </w:rPr>
              <w:t>Pracodawców RP. Poza konsultacjami pozostała</w:t>
            </w:r>
            <w:r w:rsidRPr="00A95F52">
              <w:rPr>
                <w:sz w:val="20"/>
                <w:szCs w:val="20"/>
              </w:rPr>
              <w:t xml:space="preserve"> </w:t>
            </w:r>
            <w:r w:rsidRPr="00A95F52">
              <w:rPr>
                <w:sz w:val="20"/>
                <w:szCs w:val="20"/>
              </w:rPr>
              <w:t>natomiast Federacja Przedsiębiorców Polskich,</w:t>
            </w:r>
            <w:r w:rsidRPr="00A95F52">
              <w:rPr>
                <w:sz w:val="20"/>
                <w:szCs w:val="20"/>
              </w:rPr>
              <w:t xml:space="preserve"> </w:t>
            </w:r>
            <w:r w:rsidRPr="00A95F52">
              <w:rPr>
                <w:sz w:val="20"/>
                <w:szCs w:val="20"/>
              </w:rPr>
              <w:t>reprezentatywna w rozumieniu ustawy o RDS od</w:t>
            </w:r>
            <w:r w:rsidRPr="00A95F52">
              <w:rPr>
                <w:sz w:val="20"/>
                <w:szCs w:val="20"/>
              </w:rPr>
              <w:t xml:space="preserve"> </w:t>
            </w:r>
            <w:r w:rsidRPr="00A95F52">
              <w:rPr>
                <w:sz w:val="20"/>
                <w:szCs w:val="20"/>
              </w:rPr>
              <w:t>października 2020 r. Adres elektroniczny podany</w:t>
            </w:r>
            <w:r w:rsidRPr="00A95F52">
              <w:rPr>
                <w:sz w:val="20"/>
                <w:szCs w:val="20"/>
              </w:rPr>
              <w:t xml:space="preserve"> </w:t>
            </w:r>
            <w:r w:rsidRPr="00A95F52">
              <w:rPr>
                <w:sz w:val="20"/>
                <w:szCs w:val="20"/>
              </w:rPr>
              <w:t>przez Federację, na który należy przekazywać</w:t>
            </w:r>
            <w:r w:rsidRPr="00A95F52">
              <w:rPr>
                <w:sz w:val="20"/>
                <w:szCs w:val="20"/>
              </w:rPr>
              <w:t xml:space="preserve"> </w:t>
            </w:r>
            <w:r w:rsidRPr="00A95F52">
              <w:rPr>
                <w:sz w:val="20"/>
                <w:szCs w:val="20"/>
              </w:rPr>
              <w:t>projekty aktów prawnych:</w:t>
            </w:r>
            <w:r w:rsidRPr="00A95F52">
              <w:rPr>
                <w:sz w:val="20"/>
                <w:szCs w:val="20"/>
              </w:rPr>
              <w:t xml:space="preserve"> </w:t>
            </w:r>
            <w:r w:rsidRPr="00A95F52">
              <w:rPr>
                <w:sz w:val="20"/>
                <w:szCs w:val="20"/>
              </w:rPr>
              <w:t>biuro@federacjaprzedsiebiorcow.pl</w:t>
            </w:r>
          </w:p>
        </w:tc>
        <w:tc>
          <w:tcPr>
            <w:tcW w:w="4678" w:type="dxa"/>
            <w:tcBorders>
              <w:top w:val="single" w:sz="6" w:space="0" w:color="auto"/>
              <w:left w:val="single" w:sz="6" w:space="0" w:color="auto"/>
              <w:bottom w:val="single" w:sz="6" w:space="0" w:color="auto"/>
              <w:right w:val="single" w:sz="6" w:space="0" w:color="auto"/>
            </w:tcBorders>
          </w:tcPr>
          <w:p w14:paraId="32AD5576" w14:textId="17AEF150" w:rsidR="00A95F52" w:rsidRPr="00A95F52" w:rsidRDefault="00A95F52" w:rsidP="00A95F52">
            <w:pPr>
              <w:pStyle w:val="Style2"/>
              <w:widowControl/>
              <w:ind w:right="5"/>
              <w:rPr>
                <w:rStyle w:val="FontStyle12"/>
              </w:rPr>
            </w:pPr>
          </w:p>
        </w:tc>
        <w:tc>
          <w:tcPr>
            <w:tcW w:w="3592" w:type="dxa"/>
            <w:tcBorders>
              <w:top w:val="single" w:sz="6" w:space="0" w:color="auto"/>
              <w:left w:val="single" w:sz="6" w:space="0" w:color="auto"/>
              <w:bottom w:val="single" w:sz="6" w:space="0" w:color="auto"/>
              <w:right w:val="single" w:sz="6" w:space="0" w:color="auto"/>
            </w:tcBorders>
          </w:tcPr>
          <w:p w14:paraId="3EB45C38" w14:textId="645D8145" w:rsidR="00A95F52" w:rsidRPr="00A95F52" w:rsidRDefault="005B5814" w:rsidP="00A95F52">
            <w:pPr>
              <w:pStyle w:val="Style4"/>
              <w:widowControl/>
              <w:jc w:val="both"/>
              <w:rPr>
                <w:sz w:val="20"/>
                <w:szCs w:val="20"/>
              </w:rPr>
            </w:pPr>
            <w:r>
              <w:rPr>
                <w:sz w:val="20"/>
                <w:szCs w:val="20"/>
              </w:rPr>
              <w:t>Uwaga zasadna.</w:t>
            </w:r>
            <w:r w:rsidR="00A95F52" w:rsidRPr="00A95F52">
              <w:rPr>
                <w:sz w:val="20"/>
                <w:szCs w:val="20"/>
              </w:rPr>
              <w:t xml:space="preserve">    </w:t>
            </w:r>
          </w:p>
        </w:tc>
      </w:tr>
    </w:tbl>
    <w:p w14:paraId="3D55024B" w14:textId="77777777" w:rsidR="00043D65" w:rsidRPr="00C148DB" w:rsidRDefault="00043D65" w:rsidP="00C148DB">
      <w:pPr>
        <w:jc w:val="both"/>
        <w:rPr>
          <w:sz w:val="20"/>
          <w:szCs w:val="20"/>
        </w:rPr>
      </w:pPr>
    </w:p>
    <w:sectPr w:rsidR="00043D65" w:rsidRPr="00C148DB">
      <w:type w:val="continuous"/>
      <w:pgSz w:w="16838" w:h="7377"/>
      <w:pgMar w:top="360" w:right="720" w:bottom="360" w:left="72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BAFE8" w14:textId="77777777" w:rsidR="00043D65" w:rsidRDefault="00043D65">
      <w:r>
        <w:separator/>
      </w:r>
    </w:p>
  </w:endnote>
  <w:endnote w:type="continuationSeparator" w:id="0">
    <w:p w14:paraId="53AC8133" w14:textId="77777777" w:rsidR="00043D65" w:rsidRDefault="0004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5C0E8" w14:textId="77777777" w:rsidR="00043D65" w:rsidRDefault="00043D65">
      <w:r>
        <w:separator/>
      </w:r>
    </w:p>
  </w:footnote>
  <w:footnote w:type="continuationSeparator" w:id="0">
    <w:p w14:paraId="43039CC4" w14:textId="77777777" w:rsidR="00043D65" w:rsidRDefault="00043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D65"/>
    <w:rsid w:val="00043D65"/>
    <w:rsid w:val="003167F8"/>
    <w:rsid w:val="005B5814"/>
    <w:rsid w:val="00655E9E"/>
    <w:rsid w:val="00A91B96"/>
    <w:rsid w:val="00A95F52"/>
    <w:rsid w:val="00C148DB"/>
    <w:rsid w:val="00C517E3"/>
    <w:rsid w:val="00DD4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C50E6D"/>
  <w14:defaultImageDpi w14:val="0"/>
  <w15:docId w15:val="{759E8E91-8876-4563-A80B-659B9E08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hAnsi="Calibri" w:cs="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pPr>
      <w:spacing w:line="269" w:lineRule="exact"/>
      <w:jc w:val="center"/>
    </w:pPr>
  </w:style>
  <w:style w:type="paragraph" w:customStyle="1" w:styleId="Style2">
    <w:name w:val="Style2"/>
    <w:basedOn w:val="Normalny"/>
    <w:uiPriority w:val="99"/>
    <w:pPr>
      <w:spacing w:line="269" w:lineRule="exact"/>
      <w:jc w:val="both"/>
    </w:pPr>
  </w:style>
  <w:style w:type="paragraph" w:customStyle="1" w:styleId="Style3">
    <w:name w:val="Style3"/>
    <w:basedOn w:val="Normalny"/>
    <w:uiPriority w:val="99"/>
    <w:pPr>
      <w:spacing w:line="271" w:lineRule="exact"/>
      <w:jc w:val="center"/>
    </w:pPr>
  </w:style>
  <w:style w:type="paragraph" w:customStyle="1" w:styleId="Style4">
    <w:name w:val="Style4"/>
    <w:basedOn w:val="Normalny"/>
    <w:uiPriority w:val="99"/>
  </w:style>
  <w:style w:type="character" w:customStyle="1" w:styleId="FontStyle11">
    <w:name w:val="Font Style11"/>
    <w:basedOn w:val="Domylnaczcionkaakapitu"/>
    <w:uiPriority w:val="99"/>
    <w:rPr>
      <w:rFonts w:ascii="Calibri" w:hAnsi="Calibri" w:cs="Calibri"/>
      <w:b/>
      <w:bCs/>
      <w:sz w:val="20"/>
      <w:szCs w:val="20"/>
    </w:rPr>
  </w:style>
  <w:style w:type="character" w:customStyle="1" w:styleId="FontStyle12">
    <w:name w:val="Font Style12"/>
    <w:basedOn w:val="Domylnaczcionkaakapitu"/>
    <w:uiPriority w:val="99"/>
    <w:rPr>
      <w:rFonts w:ascii="Calibri" w:hAnsi="Calibri" w:cs="Calibri"/>
      <w:sz w:val="20"/>
      <w:szCs w:val="20"/>
    </w:rPr>
  </w:style>
  <w:style w:type="character" w:styleId="Hipercze">
    <w:name w:val="Hyperlink"/>
    <w:basedOn w:val="Domylnaczcionkaakapitu"/>
    <w:uiPriority w:val="99"/>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411</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Wołowski Przemysław  (DLPC)</cp:lastModifiedBy>
  <cp:revision>3</cp:revision>
  <dcterms:created xsi:type="dcterms:W3CDTF">2021-07-28T09:37:00Z</dcterms:created>
  <dcterms:modified xsi:type="dcterms:W3CDTF">2021-07-29T06:12:00Z</dcterms:modified>
</cp:coreProperties>
</file>